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1362E0">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6F68EC" w:rsidRPr="00344F30" w:rsidRDefault="006F68EC"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281 Route 539</w:t>
                  </w:r>
                </w:p>
                <w:p w:rsidR="006F68EC" w:rsidRPr="00344F30" w:rsidRDefault="006F68EC"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6F68EC" w:rsidRDefault="006F68EC"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6F68EC" w:rsidRPr="00344F30" w:rsidRDefault="006F68EC"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6F68EC" w:rsidRDefault="006F68EC"/>
              </w:txbxContent>
            </v:textbox>
            <w10:wrap type="tight"/>
          </v:shape>
        </w:pict>
      </w:r>
    </w:p>
    <w:p w:rsidR="00BC10EB" w:rsidRPr="00890CC8" w:rsidRDefault="00FA7FAE" w:rsidP="00890CC8">
      <w:pPr>
        <w:rPr>
          <w:rFonts w:cs="Arial"/>
          <w:bCs/>
          <w:i/>
          <w:sz w:val="32"/>
          <w:szCs w:val="32"/>
        </w:rPr>
      </w:pPr>
      <w:r>
        <w:rPr>
          <w:rFonts w:cs="Arial"/>
          <w:bCs/>
          <w:i/>
          <w:sz w:val="32"/>
          <w:szCs w:val="32"/>
        </w:rPr>
        <w:t xml:space="preserve">16 May </w:t>
      </w:r>
      <w:r w:rsidR="00BC10EB" w:rsidRPr="00890CC8">
        <w:rPr>
          <w:rFonts w:cs="Arial"/>
          <w:bCs/>
          <w:i/>
          <w:sz w:val="32"/>
          <w:szCs w:val="32"/>
        </w:rPr>
        <w:t>201</w:t>
      </w:r>
      <w:r w:rsidR="00A5203B">
        <w:rPr>
          <w:rFonts w:cs="Arial"/>
          <w:bCs/>
          <w:i/>
          <w:sz w:val="32"/>
          <w:szCs w:val="32"/>
        </w:rPr>
        <w:t>4</w:t>
      </w:r>
    </w:p>
    <w:p w:rsidR="00BC10EB" w:rsidRDefault="00BC10EB" w:rsidP="00BC10EB">
      <w:pPr>
        <w:jc w:val="center"/>
        <w:rPr>
          <w:rFonts w:cs="Arial"/>
          <w:bCs/>
          <w:sz w:val="32"/>
          <w:szCs w:val="32"/>
        </w:rPr>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3B7EB8" w:rsidP="00D15922">
      <w:pPr>
        <w:suppressAutoHyphens/>
      </w:pPr>
      <w:r>
        <w:t xml:space="preserve">The Institute of International Bankers (IIB) held its annual AML Seminar on May 14; another excellent presentation by the IIB.  Nothing frightfully new came across, except the admonition that AML will continue to receive heightened scrutiny during the examination process. </w:t>
      </w:r>
    </w:p>
    <w:p w:rsidR="003B7EB8" w:rsidRDefault="003B7EB8" w:rsidP="00D15922">
      <w:pPr>
        <w:suppressAutoHyphens/>
      </w:pPr>
    </w:p>
    <w:p w:rsidR="00274001" w:rsidRDefault="0008686E" w:rsidP="00D15922">
      <w:pPr>
        <w:suppressAutoHyphens/>
      </w:pPr>
      <w:r>
        <w:t xml:space="preserve">Need help with </w:t>
      </w:r>
      <w:r w:rsidR="003B7EB8">
        <w:t xml:space="preserve">preparing for examinations </w:t>
      </w:r>
      <w:r>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BC10EB" w:rsidP="00BC10EB">
      <w:pPr>
        <w:pStyle w:val="NormalWeb"/>
        <w:spacing w:before="2"/>
        <w:rPr>
          <w:rFonts w:ascii="Times" w:hAnsi="Times"/>
          <w:sz w:val="20"/>
          <w:szCs w:val="20"/>
        </w:rPr>
      </w:pPr>
      <w:r w:rsidRPr="00E04565">
        <w:rPr>
          <w:rFonts w:ascii="Arial" w:hAnsi="Arial"/>
        </w:rPr>
        <w:t xml:space="preserve">OFAC made </w:t>
      </w:r>
      <w:r w:rsidR="00FA7FAE">
        <w:rPr>
          <w:rFonts w:ascii="Arial" w:hAnsi="Arial"/>
        </w:rPr>
        <w:t>SEVEN</w:t>
      </w:r>
      <w:r w:rsidR="0022008C">
        <w:rPr>
          <w:rFonts w:ascii="Arial" w:hAnsi="Arial"/>
        </w:rPr>
        <w:t xml:space="preserve"> </w:t>
      </w:r>
      <w:r w:rsidRPr="00E04565">
        <w:rPr>
          <w:rFonts w:ascii="Arial" w:hAnsi="Arial"/>
        </w:rPr>
        <w:t>change</w:t>
      </w:r>
      <w:r w:rsidR="007F63B9">
        <w:rPr>
          <w:rFonts w:ascii="Arial" w:hAnsi="Arial"/>
        </w:rPr>
        <w:t>s</w:t>
      </w:r>
      <w:r w:rsidRPr="00E04565">
        <w:rPr>
          <w:rFonts w:ascii="Arial" w:hAnsi="Arial"/>
        </w:rPr>
        <w:t xml:space="preserve"> </w:t>
      </w:r>
      <w:r w:rsidR="003C64C2">
        <w:rPr>
          <w:rFonts w:ascii="Arial" w:hAnsi="Arial"/>
        </w:rPr>
        <w:t>during</w:t>
      </w:r>
      <w:r w:rsidR="002146AC">
        <w:rPr>
          <w:rFonts w:ascii="Arial" w:hAnsi="Arial"/>
        </w:rPr>
        <w:t xml:space="preserve"> the </w:t>
      </w:r>
      <w:r w:rsidR="00FA7FAE">
        <w:rPr>
          <w:rFonts w:ascii="Arial" w:hAnsi="Arial"/>
        </w:rPr>
        <w:t>first</w:t>
      </w:r>
      <w:r w:rsidR="00026367">
        <w:rPr>
          <w:rFonts w:ascii="Arial" w:hAnsi="Arial"/>
        </w:rPr>
        <w:t xml:space="preserve"> half of </w:t>
      </w:r>
      <w:r w:rsidR="00FA7FAE">
        <w:rPr>
          <w:rFonts w:ascii="Arial" w:hAnsi="Arial"/>
        </w:rPr>
        <w:t>May!</w:t>
      </w:r>
      <w:r w:rsidRPr="00E04565">
        <w:rPr>
          <w:rFonts w:ascii="Arial" w:hAnsi="Arial"/>
        </w:rPr>
        <w:t xml:space="preserve"> </w:t>
      </w:r>
      <w:r>
        <w:rPr>
          <w:rFonts w:ascii="Arial" w:hAnsi="Arial"/>
        </w:rPr>
        <w:t xml:space="preserve"> </w:t>
      </w:r>
      <w:r w:rsidR="007F5D87" w:rsidRPr="001B54E2">
        <w:rPr>
          <w:rFonts w:ascii="Arial" w:hAnsi="Arial"/>
        </w:rPr>
        <w:t>The changes incorporate the addition</w:t>
      </w:r>
      <w:r w:rsidR="00FA7FAE">
        <w:rPr>
          <w:rFonts w:ascii="Arial" w:hAnsi="Arial"/>
        </w:rPr>
        <w:t xml:space="preserve"> and modification</w:t>
      </w:r>
      <w:r w:rsidR="00350B46">
        <w:rPr>
          <w:rFonts w:ascii="Arial" w:hAnsi="Arial"/>
        </w:rPr>
        <w:t xml:space="preserve"> </w:t>
      </w:r>
      <w:r w:rsidR="007F63B9">
        <w:rPr>
          <w:rFonts w:ascii="Arial" w:hAnsi="Arial"/>
        </w:rPr>
        <w:t xml:space="preserve">to </w:t>
      </w:r>
      <w:r w:rsidR="00350B46">
        <w:rPr>
          <w:rFonts w:ascii="Arial" w:hAnsi="Arial"/>
        </w:rPr>
        <w:t xml:space="preserve">and deletion from </w:t>
      </w:r>
      <w:r w:rsidR="007F5D87" w:rsidRPr="001B54E2">
        <w:rPr>
          <w:rFonts w:ascii="Arial" w:hAnsi="Arial"/>
        </w:rPr>
        <w:t xml:space="preserve">the SDN list of the </w:t>
      </w:r>
      <w:r w:rsidR="00B97F0C">
        <w:rPr>
          <w:rFonts w:ascii="Arial" w:hAnsi="Arial"/>
        </w:rPr>
        <w:t>name</w:t>
      </w:r>
      <w:r w:rsidR="009E6B9D">
        <w:rPr>
          <w:rFonts w:ascii="Arial" w:hAnsi="Arial"/>
        </w:rPr>
        <w:t>s</w:t>
      </w:r>
      <w:r w:rsidR="00B97F0C">
        <w:rPr>
          <w:rFonts w:ascii="Arial" w:hAnsi="Arial"/>
        </w:rPr>
        <w:t xml:space="preserve"> </w:t>
      </w:r>
      <w:r w:rsidR="007F5D87" w:rsidRPr="001B54E2">
        <w:rPr>
          <w:rFonts w:ascii="Arial" w:hAnsi="Arial"/>
        </w:rPr>
        <w:t>of person</w:t>
      </w:r>
      <w:r w:rsidR="009E6B9D">
        <w:rPr>
          <w:rFonts w:ascii="Arial" w:hAnsi="Arial"/>
        </w:rPr>
        <w:t>s</w:t>
      </w:r>
      <w:r w:rsidR="00727081">
        <w:rPr>
          <w:rFonts w:ascii="Arial" w:hAnsi="Arial"/>
        </w:rPr>
        <w:t xml:space="preserve"> and entities</w:t>
      </w:r>
      <w:r w:rsidR="009E6B9D">
        <w:rPr>
          <w:rFonts w:ascii="Arial" w:hAnsi="Arial"/>
        </w:rPr>
        <w:t xml:space="preserve"> </w:t>
      </w:r>
      <w:r w:rsidR="007F5D87" w:rsidRPr="001B54E2">
        <w:rPr>
          <w:rFonts w:ascii="Arial" w:hAnsi="Arial"/>
        </w:rPr>
        <w:t>originating in</w:t>
      </w:r>
      <w:r w:rsidR="007F5D87">
        <w:rPr>
          <w:rFonts w:ascii="Arial" w:hAnsi="Arial"/>
        </w:rPr>
        <w:t xml:space="preserve"> </w:t>
      </w:r>
      <w:r w:rsidR="00FA7FAE">
        <w:rPr>
          <w:rFonts w:ascii="Arial" w:hAnsi="Arial"/>
        </w:rPr>
        <w:t>Sudan, Canada, Barbados, China, Panama,</w:t>
      </w:r>
      <w:r w:rsidR="00350B46">
        <w:rPr>
          <w:rFonts w:ascii="Arial" w:hAnsi="Arial"/>
        </w:rPr>
        <w:t xml:space="preserve"> </w:t>
      </w:r>
      <w:r w:rsidR="006F695C">
        <w:rPr>
          <w:rFonts w:ascii="Arial" w:hAnsi="Arial"/>
        </w:rPr>
        <w:t>Russia</w:t>
      </w:r>
      <w:r w:rsidR="00FA7FAE">
        <w:rPr>
          <w:rFonts w:ascii="Arial" w:hAnsi="Arial"/>
        </w:rPr>
        <w:t>, Syria, Central African Republic</w:t>
      </w:r>
      <w:r w:rsidR="00F41562">
        <w:rPr>
          <w:rFonts w:ascii="Arial" w:hAnsi="Arial"/>
        </w:rPr>
        <w:t xml:space="preserve">, </w:t>
      </w:r>
      <w:r w:rsidR="00FA7FAE">
        <w:rPr>
          <w:rFonts w:ascii="Arial" w:hAnsi="Arial"/>
        </w:rPr>
        <w:t xml:space="preserve">Saudi Arabia, Mexico, </w:t>
      </w:r>
      <w:r w:rsidR="00F41562">
        <w:rPr>
          <w:rFonts w:ascii="Arial" w:hAnsi="Arial"/>
        </w:rPr>
        <w:t>C</w:t>
      </w:r>
      <w:r w:rsidR="00FA7FAE">
        <w:rPr>
          <w:rFonts w:ascii="Arial" w:hAnsi="Arial"/>
        </w:rPr>
        <w:t>olombia, United Arab Emirates, and Afghanistan</w:t>
      </w:r>
      <w:r w:rsidR="00A64B6E">
        <w:rPr>
          <w:rFonts w:ascii="Arial" w:hAnsi="Arial"/>
        </w:rPr>
        <w:t xml:space="preserve"> under</w:t>
      </w:r>
      <w:r w:rsidR="007F5D87">
        <w:rPr>
          <w:rFonts w:ascii="Arial" w:hAnsi="Arial"/>
        </w:rPr>
        <w:t xml:space="preserve"> the</w:t>
      </w:r>
      <w:r w:rsidR="009E6B9D">
        <w:rPr>
          <w:rFonts w:ascii="Arial" w:hAnsi="Arial"/>
        </w:rPr>
        <w:t xml:space="preserve"> Narcotics Trafficking Kingpin</w:t>
      </w:r>
      <w:r w:rsidR="00350B46">
        <w:rPr>
          <w:rFonts w:ascii="Arial" w:hAnsi="Arial"/>
        </w:rPr>
        <w:t xml:space="preserve">, </w:t>
      </w:r>
      <w:r w:rsidR="00FA7FAE">
        <w:rPr>
          <w:rFonts w:ascii="Arial" w:hAnsi="Arial"/>
        </w:rPr>
        <w:t xml:space="preserve">South Sudan, Syria, Central African Republic, and Global Terrorist </w:t>
      </w:r>
      <w:r w:rsidR="007E06A4">
        <w:rPr>
          <w:rFonts w:ascii="Arial" w:hAnsi="Arial"/>
        </w:rPr>
        <w:t>program</w:t>
      </w:r>
      <w:r w:rsidR="00F21A6E">
        <w:rPr>
          <w:rFonts w:ascii="Arial" w:hAnsi="Arial"/>
        </w:rPr>
        <w:t>s</w:t>
      </w:r>
      <w:r w:rsidR="007F5D87">
        <w:rPr>
          <w:rFonts w:ascii="Arial" w:hAnsi="Arial"/>
        </w:rPr>
        <w:t>.</w:t>
      </w:r>
      <w:r w:rsidR="00B97F0C">
        <w:rPr>
          <w:rFonts w:ascii="Arial" w:hAnsi="Arial"/>
        </w:rPr>
        <w:t xml:space="preserve">  OFAC also </w:t>
      </w:r>
      <w:r w:rsidR="005C19D4">
        <w:rPr>
          <w:rFonts w:ascii="Arial" w:hAnsi="Arial"/>
        </w:rPr>
        <w:t>announced three</w:t>
      </w:r>
      <w:r w:rsidR="00350B46">
        <w:rPr>
          <w:rFonts w:ascii="Arial" w:hAnsi="Arial"/>
        </w:rPr>
        <w:t xml:space="preserve"> enforcement action</w:t>
      </w:r>
      <w:r w:rsidR="005C19D4">
        <w:rPr>
          <w:rFonts w:ascii="Arial" w:hAnsi="Arial"/>
        </w:rPr>
        <w:t>s</w:t>
      </w:r>
      <w:r w:rsidR="00350B46">
        <w:rPr>
          <w:rFonts w:ascii="Arial" w:hAnsi="Arial"/>
        </w:rPr>
        <w:t xml:space="preserve"> against a</w:t>
      </w:r>
      <w:r w:rsidR="005C19D4">
        <w:rPr>
          <w:rFonts w:ascii="Arial" w:hAnsi="Arial"/>
        </w:rPr>
        <w:t>n individual, corporate entity and AIG for a variety of violations</w:t>
      </w:r>
      <w:r w:rsidR="00F41562">
        <w:rPr>
          <w:rFonts w:ascii="Arial" w:hAnsi="Arial"/>
        </w:rPr>
        <w:t>.</w:t>
      </w:r>
    </w:p>
    <w:p w:rsidR="007F5D87" w:rsidRDefault="001362E0" w:rsidP="00BC10EB">
      <w:hyperlink r:id="rId7" w:history="1">
        <w:r w:rsidR="00BC10EB" w:rsidRPr="00E04565">
          <w:rPr>
            <w:rStyle w:val="Hyperlink"/>
            <w:sz w:val="20"/>
          </w:rPr>
          <w:t>http://www.treas.gov/offices/enforcement/ofac/actions/index.shtml</w:t>
        </w:r>
      </w:hyperlink>
    </w:p>
    <w:p w:rsidR="007F5D87" w:rsidRPr="007F5D87" w:rsidRDefault="007F5D87" w:rsidP="00BC10EB">
      <w:pPr>
        <w:rPr>
          <w:sz w:val="20"/>
        </w:rPr>
      </w:pPr>
    </w:p>
    <w:p w:rsidR="00BC10EB" w:rsidRPr="007F5D87" w:rsidRDefault="00BC10EB" w:rsidP="00BC10EB">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8B5D8A" w:rsidRDefault="00BC10EB" w:rsidP="008B5D8A">
      <w:pPr>
        <w:widowControl w:val="0"/>
        <w:autoSpaceDE w:val="0"/>
        <w:autoSpaceDN w:val="0"/>
        <w:adjustRightInd w:val="0"/>
        <w:rPr>
          <w:rFonts w:cs="Arial"/>
          <w:szCs w:val="26"/>
        </w:rPr>
      </w:pPr>
      <w:r>
        <w:t>The Board released</w:t>
      </w:r>
      <w:r w:rsidR="005C15AC">
        <w:t xml:space="preserve"> enforcement action and </w:t>
      </w:r>
      <w:r w:rsidR="009E6B9D">
        <w:t xml:space="preserve">terminations of </w:t>
      </w:r>
      <w:r>
        <w:t xml:space="preserve">written agreements with US banks and bank holding companies for failures in capital adequacy and </w:t>
      </w:r>
      <w:r w:rsidRPr="008B5D8A">
        <w:t>control and credit management</w:t>
      </w:r>
      <w:r w:rsidR="009E6B9D" w:rsidRPr="008B5D8A">
        <w:t>.</w:t>
      </w:r>
      <w:r w:rsidRPr="008B5D8A">
        <w:rPr>
          <w:rFonts w:cs="Arial"/>
          <w:szCs w:val="26"/>
        </w:rPr>
        <w:t xml:space="preserve"> </w:t>
      </w:r>
      <w:r w:rsidR="00E527F9" w:rsidRPr="008B5D8A">
        <w:rPr>
          <w:rFonts w:cs="Arial"/>
          <w:szCs w:val="26"/>
        </w:rPr>
        <w:t xml:space="preserve"> </w:t>
      </w:r>
      <w:r w:rsidR="005C19D4">
        <w:rPr>
          <w:rFonts w:cs="Arial"/>
          <w:szCs w:val="26"/>
        </w:rPr>
        <w:t xml:space="preserve">The </w:t>
      </w:r>
      <w:r w:rsidR="005C19D4">
        <w:rPr>
          <w:rFonts w:cs="Arial"/>
        </w:rPr>
        <w:t>Board</w:t>
      </w:r>
      <w:r w:rsidR="005C19D4" w:rsidRPr="005C19D4">
        <w:rPr>
          <w:rFonts w:cs="Arial"/>
        </w:rPr>
        <w:t xml:space="preserve"> invited comment on a proposed rulemaking that would implement section 622 of the Dodd-Frank Act, which prohibits a financial company from combining with another company if the ratio of the resulting financial company's liabilities exceeds 10 percent of the aggregate consolidated liabili</w:t>
      </w:r>
      <w:r w:rsidR="005C19D4">
        <w:rPr>
          <w:rFonts w:cs="Arial"/>
        </w:rPr>
        <w:t>ties of all financial companies</w:t>
      </w:r>
      <w:r w:rsidR="008B5D8A" w:rsidRPr="005C19D4">
        <w:rPr>
          <w:rFonts w:cs="Arial"/>
        </w:rPr>
        <w:t>. The Board i</w:t>
      </w:r>
      <w:r w:rsidR="005C19D4">
        <w:rPr>
          <w:rFonts w:cs="Arial"/>
        </w:rPr>
        <w:t>ssued revisions to the Commercial Bank Examination Manual</w:t>
      </w:r>
      <w:r w:rsidR="008B5D8A" w:rsidRPr="008B5D8A">
        <w:rPr>
          <w:rFonts w:cs="Arial"/>
          <w:szCs w:val="26"/>
        </w:rPr>
        <w:t>.</w:t>
      </w:r>
    </w:p>
    <w:p w:rsidR="00BC10EB" w:rsidRPr="008B5D8A" w:rsidRDefault="00BC10EB" w:rsidP="00BC10EB">
      <w:pPr>
        <w:rPr>
          <w:rFonts w:cs="Arial"/>
        </w:rPr>
      </w:pPr>
      <w:r w:rsidRPr="008B5D8A">
        <w:t xml:space="preserve"> </w:t>
      </w:r>
    </w:p>
    <w:p w:rsidR="00E527F9" w:rsidRDefault="001362E0" w:rsidP="00BC10EB">
      <w:pPr>
        <w:rPr>
          <w:rStyle w:val="Hyperlink"/>
        </w:rPr>
      </w:pPr>
      <w:hyperlink r:id="rId8" w:history="1">
        <w:r w:rsidR="00BC10EB" w:rsidRPr="000C0922">
          <w:rPr>
            <w:rStyle w:val="Hyperlink"/>
            <w:sz w:val="20"/>
          </w:rPr>
          <w:t>http://www.federalreserve.gov/whatsnew.htm</w:t>
        </w:r>
      </w:hyperlink>
    </w:p>
    <w:p w:rsidR="004578C7" w:rsidRDefault="004578C7" w:rsidP="004578C7"/>
    <w:p w:rsidR="005C19D4" w:rsidRDefault="001362E0" w:rsidP="005C19D4">
      <w:pPr>
        <w:rPr>
          <w:sz w:val="20"/>
        </w:rPr>
      </w:pPr>
      <w:hyperlink r:id="rId9" w:history="1">
        <w:r w:rsidR="005C19D4" w:rsidRPr="008743DA">
          <w:rPr>
            <w:rStyle w:val="Hyperlink"/>
            <w:sz w:val="20"/>
          </w:rPr>
          <w:t>http://www.federalreserve.gov/newsevents/press/bcreg/20140508a.htm</w:t>
        </w:r>
      </w:hyperlink>
    </w:p>
    <w:p w:rsidR="005C19D4" w:rsidRDefault="005C19D4" w:rsidP="005C19D4">
      <w:pPr>
        <w:rPr>
          <w:sz w:val="20"/>
        </w:rPr>
      </w:pPr>
    </w:p>
    <w:p w:rsidR="005C19D4" w:rsidRDefault="001362E0" w:rsidP="005C19D4">
      <w:pPr>
        <w:rPr>
          <w:sz w:val="20"/>
        </w:rPr>
      </w:pPr>
      <w:hyperlink r:id="rId10" w:history="1">
        <w:r w:rsidR="005C19D4" w:rsidRPr="00F7786F">
          <w:rPr>
            <w:rStyle w:val="Hyperlink"/>
            <w:sz w:val="20"/>
          </w:rPr>
          <w:t>http://www.federalreserve.gov/boarddocs/supmanual/supervision_cbem.htm</w:t>
        </w:r>
      </w:hyperlink>
    </w:p>
    <w:p w:rsidR="005C19D4" w:rsidRDefault="005C19D4" w:rsidP="005C19D4">
      <w:pPr>
        <w:rPr>
          <w:sz w:val="20"/>
        </w:rPr>
      </w:pPr>
    </w:p>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5C19D4" w:rsidRDefault="005C19D4" w:rsidP="005C19D4">
      <w:pPr>
        <w:rPr>
          <w:sz w:val="20"/>
        </w:rPr>
      </w:pPr>
      <w:r>
        <w:rPr>
          <w:rFonts w:cs="Arial"/>
        </w:rPr>
        <w:t xml:space="preserve">FinCEN issued no new publications during the period. </w:t>
      </w:r>
    </w:p>
    <w:p w:rsidR="008B5D8A" w:rsidRDefault="008B5D8A" w:rsidP="008B5D8A">
      <w:pPr>
        <w:rPr>
          <w:sz w:val="20"/>
        </w:rPr>
      </w:pPr>
    </w:p>
    <w:p w:rsidR="003F02B0" w:rsidRDefault="003F02B0" w:rsidP="00BC10EB"/>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Default="005C15AC" w:rsidP="005C15AC">
      <w:pPr>
        <w:rPr>
          <w:sz w:val="20"/>
        </w:rPr>
      </w:pPr>
      <w:r>
        <w:rPr>
          <w:rFonts w:cs="Arial"/>
        </w:rPr>
        <w:t xml:space="preserve">FATF issued no new publications during the period. </w:t>
      </w:r>
    </w:p>
    <w:p w:rsidR="005C15AC" w:rsidRDefault="005C15AC" w:rsidP="00463905">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8B5D8A" w:rsidRDefault="008B5D8A" w:rsidP="008B5D8A">
      <w:pPr>
        <w:rPr>
          <w:sz w:val="20"/>
        </w:rPr>
      </w:pPr>
      <w:r>
        <w:rPr>
          <w:rFonts w:cs="Arial"/>
        </w:rPr>
        <w:t xml:space="preserve">Treasury issued no new publications of interest to FBOs during the period. </w:t>
      </w:r>
    </w:p>
    <w:p w:rsidR="00463905" w:rsidRDefault="00463905" w:rsidP="00463905">
      <w:pPr>
        <w:rPr>
          <w:sz w:val="20"/>
        </w:rPr>
      </w:pP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5C19D4" w:rsidRDefault="005C19D4" w:rsidP="008B5D8A">
      <w:pPr>
        <w:rPr>
          <w:rFonts w:cs="Arial"/>
        </w:rPr>
      </w:pPr>
      <w:r>
        <w:rPr>
          <w:rFonts w:cs="Arial"/>
        </w:rPr>
        <w:t xml:space="preserve">The New York Fed announced a seminar for </w:t>
      </w:r>
      <w:r w:rsidR="006100A9">
        <w:rPr>
          <w:rFonts w:cs="Arial"/>
        </w:rPr>
        <w:t>the reporting requirements of FFIEC 002 and FR 7-Q.</w:t>
      </w:r>
    </w:p>
    <w:p w:rsidR="006100A9" w:rsidRDefault="006100A9" w:rsidP="008B5D8A">
      <w:pPr>
        <w:rPr>
          <w:rFonts w:cs="Arial"/>
        </w:rPr>
      </w:pPr>
    </w:p>
    <w:p w:rsidR="006100A9" w:rsidRDefault="001362E0" w:rsidP="006100A9">
      <w:pPr>
        <w:rPr>
          <w:sz w:val="20"/>
        </w:rPr>
      </w:pPr>
      <w:hyperlink r:id="rId11" w:history="1">
        <w:r w:rsidR="006100A9" w:rsidRPr="003512CE">
          <w:rPr>
            <w:rStyle w:val="Hyperlink"/>
            <w:sz w:val="20"/>
          </w:rPr>
          <w:t>http://www.newyorkfed.org/newsevents/events/banking/2014/0602_2014.html</w:t>
        </w:r>
      </w:hyperlink>
    </w:p>
    <w:p w:rsidR="006100A9" w:rsidRDefault="006100A9" w:rsidP="006100A9">
      <w:pPr>
        <w:rPr>
          <w:sz w:val="20"/>
        </w:rPr>
      </w:pPr>
    </w:p>
    <w:p w:rsidR="006100A9" w:rsidRDefault="006100A9" w:rsidP="008B5D8A">
      <w:r>
        <w:t>The NYS Department of Financial Services issued an adoption of a rule concerning assessments.</w:t>
      </w:r>
    </w:p>
    <w:p w:rsidR="006100A9" w:rsidRDefault="006100A9" w:rsidP="008B5D8A"/>
    <w:p w:rsidR="006100A9" w:rsidRDefault="001362E0" w:rsidP="006100A9">
      <w:pPr>
        <w:rPr>
          <w:sz w:val="20"/>
        </w:rPr>
      </w:pPr>
      <w:hyperlink r:id="rId12" w:history="1">
        <w:r w:rsidR="006100A9" w:rsidRPr="00CB5926">
          <w:rPr>
            <w:rStyle w:val="Hyperlink"/>
            <w:sz w:val="20"/>
          </w:rPr>
          <w:t>http://www.dfs.ny.gov/legal/regulations/emergency/banking/emergbanking.htm</w:t>
        </w:r>
      </w:hyperlink>
    </w:p>
    <w:p w:rsidR="006100A9" w:rsidRDefault="006100A9" w:rsidP="006100A9">
      <w:pPr>
        <w:rPr>
          <w:sz w:val="20"/>
        </w:rPr>
      </w:pPr>
    </w:p>
    <w:p w:rsidR="006100A9" w:rsidRDefault="006100A9" w:rsidP="008B5D8A"/>
    <w:p w:rsidR="006100A9" w:rsidRPr="006100A9" w:rsidRDefault="006100A9" w:rsidP="008B5D8A">
      <w:r>
        <w:t>FINRA issued a ruling requiring firms to conduct background checks on registration applicants due to failures in screening processes.  FINRA also issued an enforcement action against a B-D for AML failures.</w:t>
      </w:r>
    </w:p>
    <w:p w:rsidR="006100A9" w:rsidRDefault="006100A9" w:rsidP="008B5D8A"/>
    <w:p w:rsidR="006100A9" w:rsidRDefault="001362E0" w:rsidP="006100A9">
      <w:pPr>
        <w:rPr>
          <w:rStyle w:val="Hyperlink"/>
        </w:rPr>
      </w:pPr>
      <w:hyperlink r:id="rId13" w:history="1">
        <w:r w:rsidR="006100A9" w:rsidRPr="00CB5926">
          <w:rPr>
            <w:rStyle w:val="Hyperlink"/>
            <w:sz w:val="20"/>
          </w:rPr>
          <w:t>http://www.finra.org/Newsroom/NewsReleases/2014/P493588</w:t>
        </w:r>
      </w:hyperlink>
    </w:p>
    <w:p w:rsidR="006100A9" w:rsidRDefault="006100A9" w:rsidP="006100A9">
      <w:pPr>
        <w:rPr>
          <w:rStyle w:val="Hyperlink"/>
        </w:rPr>
      </w:pPr>
    </w:p>
    <w:p w:rsidR="006100A9" w:rsidRDefault="001362E0" w:rsidP="006100A9">
      <w:pPr>
        <w:rPr>
          <w:sz w:val="20"/>
        </w:rPr>
      </w:pPr>
      <w:hyperlink r:id="rId14" w:history="1">
        <w:r w:rsidR="006100A9" w:rsidRPr="00F7786F">
          <w:rPr>
            <w:rStyle w:val="Hyperlink"/>
            <w:sz w:val="20"/>
          </w:rPr>
          <w:t>http://www.finra.org/Industry/Regulation/Notices/2014/P506336</w:t>
        </w:r>
      </w:hyperlink>
      <w:r w:rsidR="006100A9">
        <w:rPr>
          <w:rStyle w:val="Hyperlink"/>
          <w:sz w:val="20"/>
          <w:u w:val="none"/>
        </w:rPr>
        <w:t xml:space="preserve"> </w:t>
      </w:r>
    </w:p>
    <w:p w:rsidR="006100A9" w:rsidRDefault="006100A9" w:rsidP="006100A9">
      <w:pPr>
        <w:rPr>
          <w:sz w:val="20"/>
        </w:rPr>
      </w:pPr>
    </w:p>
    <w:p w:rsidR="006100A9" w:rsidRDefault="006100A9" w:rsidP="008B5D8A"/>
    <w:p w:rsidR="001874BC" w:rsidRPr="001874BC" w:rsidRDefault="001874BC" w:rsidP="008B5D8A">
      <w:r>
        <w:t xml:space="preserve">The OCC, together with the Board and the </w:t>
      </w:r>
      <w:r w:rsidRPr="001874BC">
        <w:t>FDIC</w:t>
      </w:r>
      <w:r>
        <w:t>,</w:t>
      </w:r>
      <w:r w:rsidRPr="001874BC">
        <w:t xml:space="preserve"> </w:t>
      </w:r>
      <w:r w:rsidRPr="001874BC">
        <w:rPr>
          <w:rFonts w:cs="Arial"/>
        </w:rPr>
        <w:t>have adopted a final rule to strengthen the supplementary leverage ratio standards for the largest, most systemically significant U.S. banking organizations. The final rule applies to any bank holding company (BHC) with more than $700 billion in consolidated total assets or $10 trillion in assets under custody (covered BHC) and any insured depository institution (IDI) subsidiary of these covered BHCs (covered IDI).</w:t>
      </w:r>
      <w:r>
        <w:rPr>
          <w:rFonts w:cs="Arial"/>
        </w:rPr>
        <w:t xml:space="preserve">   These same agencies are</w:t>
      </w:r>
      <w:r w:rsidRPr="001874BC">
        <w:rPr>
          <w:rFonts w:cs="Arial"/>
        </w:rPr>
        <w:t xml:space="preserve"> also </w:t>
      </w:r>
      <w:r>
        <w:rPr>
          <w:rFonts w:cs="Arial"/>
        </w:rPr>
        <w:t>seeking comment on a</w:t>
      </w:r>
      <w:r w:rsidRPr="001874BC">
        <w:rPr>
          <w:rFonts w:cs="Arial"/>
        </w:rPr>
        <w:t xml:space="preserve"> notice of proposed rulemaking (NPR</w:t>
      </w:r>
      <w:r>
        <w:rPr>
          <w:rFonts w:cs="Arial"/>
        </w:rPr>
        <w:t>) that</w:t>
      </w:r>
      <w:r w:rsidRPr="001874BC">
        <w:rPr>
          <w:rFonts w:cs="Arial"/>
        </w:rPr>
        <w:t xml:space="preserve"> would revise the calculation of total leverage exposure in a manner generally consistent with revisions to the international leverage ratio framework published by the Basel Committee on Banking Supervision in January 2014.</w:t>
      </w:r>
      <w:r>
        <w:rPr>
          <w:rFonts w:cs="Arial"/>
        </w:rPr>
        <w:t xml:space="preserve">  The OCC also issued a proposed rule for a revised assessment structure for large national banks and savings associations.</w:t>
      </w:r>
    </w:p>
    <w:p w:rsidR="006100A9" w:rsidRPr="001874BC" w:rsidRDefault="006100A9" w:rsidP="008B5D8A"/>
    <w:p w:rsidR="001874BC" w:rsidRDefault="001362E0" w:rsidP="001874BC">
      <w:pPr>
        <w:rPr>
          <w:sz w:val="20"/>
        </w:rPr>
      </w:pPr>
      <w:hyperlink r:id="rId15" w:history="1">
        <w:r w:rsidR="001874BC" w:rsidRPr="00CB5926">
          <w:rPr>
            <w:rStyle w:val="Hyperlink"/>
            <w:sz w:val="20"/>
          </w:rPr>
          <w:t>http://www.occ.gov/news-issuances/bulletins/2014/bulletin-2014-18.html</w:t>
        </w:r>
      </w:hyperlink>
    </w:p>
    <w:p w:rsidR="001874BC" w:rsidRDefault="001874BC" w:rsidP="001874BC">
      <w:pPr>
        <w:rPr>
          <w:sz w:val="20"/>
        </w:rPr>
      </w:pPr>
    </w:p>
    <w:p w:rsidR="001874BC" w:rsidRDefault="001362E0" w:rsidP="001874BC">
      <w:pPr>
        <w:rPr>
          <w:sz w:val="20"/>
        </w:rPr>
      </w:pPr>
      <w:hyperlink r:id="rId16" w:history="1">
        <w:r w:rsidR="001874BC" w:rsidRPr="00CB5926">
          <w:rPr>
            <w:rStyle w:val="Hyperlink"/>
            <w:sz w:val="20"/>
          </w:rPr>
          <w:t>http://www.occ.gov/news-issuances/bulletins/2014/bulletin-2014-19.html</w:t>
        </w:r>
      </w:hyperlink>
    </w:p>
    <w:p w:rsidR="001874BC" w:rsidRDefault="001874BC" w:rsidP="001874BC">
      <w:pPr>
        <w:rPr>
          <w:sz w:val="20"/>
        </w:rPr>
      </w:pPr>
    </w:p>
    <w:p w:rsidR="001874BC" w:rsidRDefault="001362E0" w:rsidP="001874BC">
      <w:pPr>
        <w:rPr>
          <w:sz w:val="20"/>
        </w:rPr>
      </w:pPr>
      <w:hyperlink r:id="rId17" w:history="1">
        <w:r w:rsidR="001874BC" w:rsidRPr="00CB5926">
          <w:rPr>
            <w:rStyle w:val="Hyperlink"/>
            <w:sz w:val="20"/>
          </w:rPr>
          <w:t>http://www.occ.gov/news-issuances/bulletins/2014/bulletin-2014-20.html</w:t>
        </w:r>
      </w:hyperlink>
    </w:p>
    <w:p w:rsidR="001874BC" w:rsidRDefault="001874BC" w:rsidP="001874BC">
      <w:pPr>
        <w:rPr>
          <w:sz w:val="20"/>
        </w:rPr>
      </w:pPr>
    </w:p>
    <w:p w:rsidR="001874BC" w:rsidRDefault="001362E0" w:rsidP="001874BC">
      <w:pPr>
        <w:rPr>
          <w:sz w:val="20"/>
        </w:rPr>
      </w:pPr>
      <w:hyperlink r:id="rId18" w:history="1">
        <w:r w:rsidR="001874BC" w:rsidRPr="00F7786F">
          <w:rPr>
            <w:rStyle w:val="Hyperlink"/>
            <w:sz w:val="20"/>
          </w:rPr>
          <w:t>http://www.occ.gov/news-issuances/bulletins/2014/bulletin-2014-21.html</w:t>
        </w:r>
      </w:hyperlink>
    </w:p>
    <w:p w:rsidR="001874BC" w:rsidRDefault="001874BC" w:rsidP="001874BC">
      <w:pPr>
        <w:rPr>
          <w:sz w:val="20"/>
        </w:rPr>
      </w:pPr>
    </w:p>
    <w:p w:rsidR="006100A9"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23553F">
        <w:rPr>
          <w:rFonts w:ascii="Arial" w:hAnsi="Arial" w:cs="Arial"/>
          <w:bCs/>
        </w:rPr>
        <w:t>.</w:t>
      </w:r>
    </w:p>
    <w:p w:rsidR="00C26508" w:rsidRPr="00C26508" w:rsidRDefault="001362E0" w:rsidP="00BC10EB">
      <w:pPr>
        <w:pStyle w:val="NormalWeb"/>
        <w:spacing w:before="0" w:after="0"/>
        <w:rPr>
          <w:rFonts w:ascii="Arial" w:hAnsi="Arial" w:cs="Arial"/>
          <w:bCs/>
          <w:sz w:val="20"/>
        </w:rPr>
      </w:pPr>
      <w:hyperlink r:id="rId19"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1362E0" w:rsidP="00BC10EB">
      <w:pPr>
        <w:pStyle w:val="NormalWeb"/>
        <w:spacing w:before="0" w:after="0"/>
        <w:rPr>
          <w:rFonts w:ascii="Arial" w:hAnsi="Arial" w:cs="Arial"/>
          <w:bCs/>
          <w:sz w:val="20"/>
        </w:rPr>
      </w:pPr>
      <w:hyperlink r:id="rId20"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1362E0" w:rsidP="00BC10EB">
      <w:pPr>
        <w:pStyle w:val="NormalWeb"/>
        <w:spacing w:before="0" w:after="0"/>
        <w:rPr>
          <w:rFonts w:ascii="Arial" w:hAnsi="Arial" w:cs="Arial"/>
          <w:bCs/>
          <w:sz w:val="20"/>
        </w:rPr>
      </w:pPr>
      <w:hyperlink r:id="rId21"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1362E0" w:rsidP="00BC10EB">
      <w:pPr>
        <w:pStyle w:val="NormalWeb"/>
        <w:spacing w:before="0" w:after="0"/>
        <w:rPr>
          <w:rFonts w:ascii="Arial" w:hAnsi="Arial"/>
          <w:sz w:val="20"/>
        </w:rPr>
      </w:pPr>
      <w:hyperlink r:id="rId22" w:history="1">
        <w:r w:rsidR="00BC10EB" w:rsidRPr="00FD6821">
          <w:rPr>
            <w:rStyle w:val="Hyperlink"/>
            <w:rFonts w:ascii="Arial" w:hAnsi="Arial"/>
            <w:sz w:val="20"/>
          </w:rPr>
          <w:t>www.ACAMS.org</w:t>
        </w:r>
      </w:hyperlink>
    </w:p>
    <w:p w:rsidR="00BC10EB" w:rsidRPr="00FD6821" w:rsidRDefault="001362E0" w:rsidP="00BC10EB">
      <w:pPr>
        <w:pStyle w:val="NormalWeb"/>
        <w:spacing w:before="0" w:after="0"/>
        <w:rPr>
          <w:rFonts w:ascii="Arial" w:hAnsi="Arial"/>
          <w:sz w:val="20"/>
        </w:rPr>
      </w:pPr>
      <w:hyperlink r:id="rId23" w:history="1">
        <w:r w:rsidR="00BC10EB" w:rsidRPr="00FD6821">
          <w:rPr>
            <w:rStyle w:val="Hyperlink"/>
            <w:rFonts w:ascii="Arial" w:hAnsi="Arial"/>
            <w:sz w:val="20"/>
          </w:rPr>
          <w:t>www.moneylaundering.com</w:t>
        </w:r>
      </w:hyperlink>
    </w:p>
    <w:p w:rsidR="00BF23E6" w:rsidRDefault="00BF23E6" w:rsidP="00BC10EB">
      <w:pPr>
        <w:pStyle w:val="NormalWeb"/>
        <w:spacing w:before="0" w:after="0"/>
        <w:rPr>
          <w:rFonts w:ascii="Arial" w:hAnsi="Arial" w:cs="Arial"/>
        </w:rPr>
      </w:pPr>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BF23E6" w:rsidRDefault="00BF23E6" w:rsidP="00BC10EB">
      <w:pPr>
        <w:pStyle w:val="NormalWeb"/>
        <w:spacing w:before="0" w:after="0"/>
        <w:rPr>
          <w:rFonts w:ascii="Arial" w:hAnsi="Arial"/>
        </w:rPr>
      </w:pPr>
    </w:p>
    <w:p w:rsidR="00B31E3E" w:rsidRDefault="00BC10EB" w:rsidP="00BC10EB">
      <w:pPr>
        <w:pStyle w:val="NormalWeb"/>
        <w:spacing w:before="0" w:after="0"/>
        <w:rPr>
          <w:rFonts w:ascii="Arial" w:hAnsi="Arial"/>
        </w:rPr>
      </w:pPr>
      <w:r w:rsidRPr="00FD6821">
        <w:rPr>
          <w:rFonts w:ascii="Arial" w:hAnsi="Arial"/>
        </w:rPr>
        <w:t>Bill Schlameuss</w:t>
      </w:r>
    </w:p>
    <w:p w:rsidR="00C3453F" w:rsidRDefault="00C3453F" w:rsidP="00F40FCF">
      <w:pPr>
        <w:rPr>
          <w:sz w:val="20"/>
        </w:rPr>
      </w:pPr>
    </w:p>
    <w:p w:rsidR="007F07D5" w:rsidRPr="00E266B4" w:rsidRDefault="007F07D5" w:rsidP="00F40FCF">
      <w:pPr>
        <w:rPr>
          <w:sz w:val="20"/>
        </w:rPr>
      </w:pPr>
    </w:p>
    <w:p w:rsidR="005C19D4" w:rsidRDefault="005C19D4" w:rsidP="00640560"/>
    <w:p w:rsidR="005C19D4" w:rsidRDefault="005C19D4" w:rsidP="00640560"/>
    <w:p w:rsidR="005C19D4" w:rsidRDefault="005C19D4" w:rsidP="00640560">
      <w:pPr>
        <w:rPr>
          <w:sz w:val="20"/>
        </w:rPr>
      </w:pPr>
    </w:p>
    <w:p w:rsidR="001F7AB8" w:rsidRDefault="001F7AB8" w:rsidP="00640560">
      <w:pPr>
        <w:rPr>
          <w:sz w:val="20"/>
        </w:rPr>
      </w:pPr>
    </w:p>
    <w:p w:rsidR="005C19D4" w:rsidRDefault="005C19D4" w:rsidP="00640560">
      <w:bookmarkStart w:id="0" w:name="_GoBack"/>
      <w:bookmarkEnd w:id="0"/>
    </w:p>
    <w:p w:rsidR="00344F30" w:rsidRPr="00CC198F" w:rsidRDefault="00344F30" w:rsidP="00344F30">
      <w:pPr>
        <w:rPr>
          <w:sz w:val="20"/>
        </w:rPr>
      </w:pPr>
    </w:p>
    <w:sectPr w:rsidR="00344F30" w:rsidRPr="00CC198F" w:rsidSect="00242AD8">
      <w:headerReference w:type="default" r:id="rId24"/>
      <w:headerReference w:type="first" r:id="rId25"/>
      <w:footerReference w:type="first" r:id="rId26"/>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B8" w:rsidRDefault="003B7EB8">
      <w:r>
        <w:separator/>
      </w:r>
    </w:p>
  </w:endnote>
  <w:endnote w:type="continuationSeparator" w:id="0">
    <w:p w:rsidR="003B7EB8" w:rsidRDefault="003B7EB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4D"/>
    <w:family w:val="roman"/>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B8" w:rsidRPr="00C04A91" w:rsidRDefault="003B7EB8" w:rsidP="00531D04">
    <w:pPr>
      <w:pStyle w:val="Default"/>
      <w:jc w:val="center"/>
      <w:rPr>
        <w:rFonts w:ascii="Lucida Sans" w:hAnsi="Lucida Sans"/>
        <w:b/>
        <w:i/>
      </w:rPr>
    </w:pPr>
  </w:p>
  <w:p w:rsidR="003B7EB8" w:rsidRPr="00344F30" w:rsidRDefault="003B7EB8"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3B7EB8" w:rsidRDefault="003B7EB8"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B8" w:rsidRDefault="003B7EB8">
      <w:r>
        <w:separator/>
      </w:r>
    </w:p>
  </w:footnote>
  <w:footnote w:type="continuationSeparator" w:id="0">
    <w:p w:rsidR="003B7EB8" w:rsidRDefault="003B7EB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B8" w:rsidRDefault="003B7EB8"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1362E0"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1362E0" w:rsidRPr="00344F30">
      <w:rPr>
        <w:rStyle w:val="PageNumber"/>
        <w:rFonts w:ascii="Lucida Sans Unicode" w:hAnsi="Lucida Sans Unicode" w:cs="Lucida Sans Unicode"/>
        <w:i/>
        <w:color w:val="7F7F7F" w:themeColor="text1" w:themeTint="80"/>
        <w:sz w:val="32"/>
        <w:szCs w:val="32"/>
      </w:rPr>
      <w:fldChar w:fldCharType="separate"/>
    </w:r>
    <w:r w:rsidR="0053762C">
      <w:rPr>
        <w:rStyle w:val="PageNumber"/>
        <w:rFonts w:ascii="Lucida Sans Unicode" w:hAnsi="Lucida Sans Unicode" w:cs="Lucida Sans Unicode"/>
        <w:i/>
        <w:noProof/>
        <w:color w:val="7F7F7F" w:themeColor="text1" w:themeTint="80"/>
        <w:sz w:val="32"/>
        <w:szCs w:val="32"/>
      </w:rPr>
      <w:t>2</w:t>
    </w:r>
    <w:r w:rsidR="001362E0" w:rsidRPr="00344F30">
      <w:rPr>
        <w:rStyle w:val="PageNumber"/>
        <w:rFonts w:ascii="Lucida Sans Unicode" w:hAnsi="Lucida Sans Unicode" w:cs="Lucida Sans Unicode"/>
        <w:i/>
        <w:color w:val="7F7F7F" w:themeColor="text1" w:themeTint="80"/>
        <w:sz w:val="32"/>
        <w:szCs w:val="32"/>
      </w:rPr>
      <w:fldChar w:fldCharType="end"/>
    </w:r>
  </w:p>
  <w:p w:rsidR="003B7EB8" w:rsidRDefault="003B7EB8" w:rsidP="00242AD8">
    <w:r>
      <w:tab/>
    </w:r>
  </w:p>
  <w:p w:rsidR="003B7EB8" w:rsidRDefault="003B7EB8"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B8" w:rsidRDefault="001362E0">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6F68EC" w:rsidRPr="00344F30" w:rsidRDefault="006F68EC"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6F68EC" w:rsidRPr="00344F30" w:rsidRDefault="006F68EC"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6F68EC" w:rsidRDefault="006F68EC"/>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rsids>
    <w:rsidRoot w:val="001756E8"/>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1CEB"/>
    <w:rsid w:val="000A04A9"/>
    <w:rsid w:val="000A18F2"/>
    <w:rsid w:val="000A228B"/>
    <w:rsid w:val="000B0042"/>
    <w:rsid w:val="000B532D"/>
    <w:rsid w:val="000C46AB"/>
    <w:rsid w:val="000C4E50"/>
    <w:rsid w:val="000C56A6"/>
    <w:rsid w:val="000D6112"/>
    <w:rsid w:val="000D64B6"/>
    <w:rsid w:val="000D7483"/>
    <w:rsid w:val="000F37BF"/>
    <w:rsid w:val="000F6F2E"/>
    <w:rsid w:val="000F79CC"/>
    <w:rsid w:val="0011250E"/>
    <w:rsid w:val="0011766E"/>
    <w:rsid w:val="0012243A"/>
    <w:rsid w:val="00123440"/>
    <w:rsid w:val="00124CDE"/>
    <w:rsid w:val="0012753F"/>
    <w:rsid w:val="0013182E"/>
    <w:rsid w:val="00131931"/>
    <w:rsid w:val="001345A1"/>
    <w:rsid w:val="001362E0"/>
    <w:rsid w:val="00136735"/>
    <w:rsid w:val="00137D5D"/>
    <w:rsid w:val="001407ED"/>
    <w:rsid w:val="001446AA"/>
    <w:rsid w:val="00144BC0"/>
    <w:rsid w:val="00154033"/>
    <w:rsid w:val="001544EF"/>
    <w:rsid w:val="001551DD"/>
    <w:rsid w:val="001605BA"/>
    <w:rsid w:val="00164EED"/>
    <w:rsid w:val="00166AB6"/>
    <w:rsid w:val="00172FDF"/>
    <w:rsid w:val="001756E8"/>
    <w:rsid w:val="00183304"/>
    <w:rsid w:val="001857A1"/>
    <w:rsid w:val="001874BC"/>
    <w:rsid w:val="00187A0A"/>
    <w:rsid w:val="001920DE"/>
    <w:rsid w:val="00194DAF"/>
    <w:rsid w:val="001A1CE7"/>
    <w:rsid w:val="001A2666"/>
    <w:rsid w:val="001B4172"/>
    <w:rsid w:val="001C5889"/>
    <w:rsid w:val="001C7A83"/>
    <w:rsid w:val="001C7EFA"/>
    <w:rsid w:val="001D2874"/>
    <w:rsid w:val="001D3034"/>
    <w:rsid w:val="001D490D"/>
    <w:rsid w:val="001E56E1"/>
    <w:rsid w:val="001F15FD"/>
    <w:rsid w:val="001F5038"/>
    <w:rsid w:val="001F7AB8"/>
    <w:rsid w:val="00202DDF"/>
    <w:rsid w:val="0020406F"/>
    <w:rsid w:val="0021063F"/>
    <w:rsid w:val="0021192B"/>
    <w:rsid w:val="00211D86"/>
    <w:rsid w:val="002125FB"/>
    <w:rsid w:val="002146AC"/>
    <w:rsid w:val="0022008C"/>
    <w:rsid w:val="0022040B"/>
    <w:rsid w:val="00224D7E"/>
    <w:rsid w:val="00226678"/>
    <w:rsid w:val="00227204"/>
    <w:rsid w:val="00230E6D"/>
    <w:rsid w:val="0023553F"/>
    <w:rsid w:val="00235B03"/>
    <w:rsid w:val="00240A64"/>
    <w:rsid w:val="00242176"/>
    <w:rsid w:val="00242AD8"/>
    <w:rsid w:val="00244033"/>
    <w:rsid w:val="0024481C"/>
    <w:rsid w:val="00245547"/>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940CB"/>
    <w:rsid w:val="00295E95"/>
    <w:rsid w:val="0029672C"/>
    <w:rsid w:val="002A0219"/>
    <w:rsid w:val="002A041C"/>
    <w:rsid w:val="002A067C"/>
    <w:rsid w:val="002A4C84"/>
    <w:rsid w:val="002C3057"/>
    <w:rsid w:val="002C6AAB"/>
    <w:rsid w:val="002D0290"/>
    <w:rsid w:val="002D302D"/>
    <w:rsid w:val="002D6578"/>
    <w:rsid w:val="002F43D7"/>
    <w:rsid w:val="002F6695"/>
    <w:rsid w:val="002F766E"/>
    <w:rsid w:val="002F7BC8"/>
    <w:rsid w:val="003151C7"/>
    <w:rsid w:val="00316966"/>
    <w:rsid w:val="003174CF"/>
    <w:rsid w:val="003177C0"/>
    <w:rsid w:val="00321388"/>
    <w:rsid w:val="00325CCD"/>
    <w:rsid w:val="00326DA0"/>
    <w:rsid w:val="003301BD"/>
    <w:rsid w:val="0033316C"/>
    <w:rsid w:val="00335F64"/>
    <w:rsid w:val="00342639"/>
    <w:rsid w:val="003432BE"/>
    <w:rsid w:val="00344F30"/>
    <w:rsid w:val="00345FCE"/>
    <w:rsid w:val="00346064"/>
    <w:rsid w:val="00350B46"/>
    <w:rsid w:val="00352AFC"/>
    <w:rsid w:val="00352E4B"/>
    <w:rsid w:val="00363427"/>
    <w:rsid w:val="003735E9"/>
    <w:rsid w:val="00380E6A"/>
    <w:rsid w:val="003819D5"/>
    <w:rsid w:val="00384474"/>
    <w:rsid w:val="00385041"/>
    <w:rsid w:val="00392BDF"/>
    <w:rsid w:val="00397E02"/>
    <w:rsid w:val="003A4172"/>
    <w:rsid w:val="003A59C6"/>
    <w:rsid w:val="003B245E"/>
    <w:rsid w:val="003B6FBC"/>
    <w:rsid w:val="003B7EB8"/>
    <w:rsid w:val="003C375E"/>
    <w:rsid w:val="003C64C2"/>
    <w:rsid w:val="003C6A01"/>
    <w:rsid w:val="003C6B65"/>
    <w:rsid w:val="003D6C08"/>
    <w:rsid w:val="003D705E"/>
    <w:rsid w:val="003E1EBD"/>
    <w:rsid w:val="003E3A56"/>
    <w:rsid w:val="003E7F18"/>
    <w:rsid w:val="003F02B0"/>
    <w:rsid w:val="003F614B"/>
    <w:rsid w:val="00402D5B"/>
    <w:rsid w:val="004043BB"/>
    <w:rsid w:val="00406A42"/>
    <w:rsid w:val="00407ED0"/>
    <w:rsid w:val="00412102"/>
    <w:rsid w:val="00413A8B"/>
    <w:rsid w:val="00414889"/>
    <w:rsid w:val="00416066"/>
    <w:rsid w:val="0042050F"/>
    <w:rsid w:val="00425332"/>
    <w:rsid w:val="004325EA"/>
    <w:rsid w:val="00432683"/>
    <w:rsid w:val="00432CD2"/>
    <w:rsid w:val="00437ED0"/>
    <w:rsid w:val="00440B29"/>
    <w:rsid w:val="0044276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E5A"/>
    <w:rsid w:val="004966C0"/>
    <w:rsid w:val="004A4405"/>
    <w:rsid w:val="004A64D2"/>
    <w:rsid w:val="004B04F2"/>
    <w:rsid w:val="004B2E2C"/>
    <w:rsid w:val="004B47D8"/>
    <w:rsid w:val="004B6504"/>
    <w:rsid w:val="004C5F45"/>
    <w:rsid w:val="004D0A9A"/>
    <w:rsid w:val="004D14C3"/>
    <w:rsid w:val="004D1D79"/>
    <w:rsid w:val="004D25AF"/>
    <w:rsid w:val="004D7006"/>
    <w:rsid w:val="004E0099"/>
    <w:rsid w:val="004E0714"/>
    <w:rsid w:val="004E1641"/>
    <w:rsid w:val="004E3993"/>
    <w:rsid w:val="004E4E52"/>
    <w:rsid w:val="004E70FB"/>
    <w:rsid w:val="0050061D"/>
    <w:rsid w:val="005107D8"/>
    <w:rsid w:val="005127F4"/>
    <w:rsid w:val="00520063"/>
    <w:rsid w:val="005308D0"/>
    <w:rsid w:val="0053130B"/>
    <w:rsid w:val="00531C26"/>
    <w:rsid w:val="00531D04"/>
    <w:rsid w:val="005351D9"/>
    <w:rsid w:val="005352B5"/>
    <w:rsid w:val="00536FEA"/>
    <w:rsid w:val="0053762C"/>
    <w:rsid w:val="00540E63"/>
    <w:rsid w:val="0054110B"/>
    <w:rsid w:val="00545206"/>
    <w:rsid w:val="0054629F"/>
    <w:rsid w:val="005470AE"/>
    <w:rsid w:val="005502E6"/>
    <w:rsid w:val="00551D23"/>
    <w:rsid w:val="005608A9"/>
    <w:rsid w:val="0056608F"/>
    <w:rsid w:val="0057082B"/>
    <w:rsid w:val="00573A21"/>
    <w:rsid w:val="0057585F"/>
    <w:rsid w:val="00577CAD"/>
    <w:rsid w:val="0058076A"/>
    <w:rsid w:val="005825E2"/>
    <w:rsid w:val="00582E05"/>
    <w:rsid w:val="00582F30"/>
    <w:rsid w:val="0058378C"/>
    <w:rsid w:val="00583840"/>
    <w:rsid w:val="00597117"/>
    <w:rsid w:val="00597B39"/>
    <w:rsid w:val="005A4AE0"/>
    <w:rsid w:val="005B111E"/>
    <w:rsid w:val="005C0854"/>
    <w:rsid w:val="005C15AC"/>
    <w:rsid w:val="005C19D4"/>
    <w:rsid w:val="005C432C"/>
    <w:rsid w:val="005C473A"/>
    <w:rsid w:val="005C5662"/>
    <w:rsid w:val="005D4069"/>
    <w:rsid w:val="005E7124"/>
    <w:rsid w:val="005F6749"/>
    <w:rsid w:val="005F6CB5"/>
    <w:rsid w:val="006007F5"/>
    <w:rsid w:val="00600E04"/>
    <w:rsid w:val="00606A29"/>
    <w:rsid w:val="006100A9"/>
    <w:rsid w:val="006100DA"/>
    <w:rsid w:val="00614319"/>
    <w:rsid w:val="006202D2"/>
    <w:rsid w:val="0062144F"/>
    <w:rsid w:val="00621BDE"/>
    <w:rsid w:val="00622E72"/>
    <w:rsid w:val="00623162"/>
    <w:rsid w:val="00623C27"/>
    <w:rsid w:val="00624D26"/>
    <w:rsid w:val="0062559A"/>
    <w:rsid w:val="00626F12"/>
    <w:rsid w:val="00636BF8"/>
    <w:rsid w:val="00640560"/>
    <w:rsid w:val="00641815"/>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6EE9"/>
    <w:rsid w:val="006A7776"/>
    <w:rsid w:val="006B28E5"/>
    <w:rsid w:val="006B7AEB"/>
    <w:rsid w:val="006C09DE"/>
    <w:rsid w:val="006C0F66"/>
    <w:rsid w:val="006D2FC2"/>
    <w:rsid w:val="006D38CF"/>
    <w:rsid w:val="006D7340"/>
    <w:rsid w:val="006E27B7"/>
    <w:rsid w:val="006E2BA5"/>
    <w:rsid w:val="006F2B1D"/>
    <w:rsid w:val="006F3555"/>
    <w:rsid w:val="006F5F65"/>
    <w:rsid w:val="006F68EC"/>
    <w:rsid w:val="006F695C"/>
    <w:rsid w:val="00711CFF"/>
    <w:rsid w:val="007135ED"/>
    <w:rsid w:val="0071596F"/>
    <w:rsid w:val="00715E73"/>
    <w:rsid w:val="00716032"/>
    <w:rsid w:val="00717682"/>
    <w:rsid w:val="00725A48"/>
    <w:rsid w:val="00726F9D"/>
    <w:rsid w:val="00727081"/>
    <w:rsid w:val="0073687E"/>
    <w:rsid w:val="00741BF6"/>
    <w:rsid w:val="00744B60"/>
    <w:rsid w:val="007458F3"/>
    <w:rsid w:val="0074712E"/>
    <w:rsid w:val="00755096"/>
    <w:rsid w:val="00755B5A"/>
    <w:rsid w:val="00756C8A"/>
    <w:rsid w:val="00763243"/>
    <w:rsid w:val="00780660"/>
    <w:rsid w:val="00782A62"/>
    <w:rsid w:val="0078527D"/>
    <w:rsid w:val="00791BAC"/>
    <w:rsid w:val="00793A49"/>
    <w:rsid w:val="00796C49"/>
    <w:rsid w:val="00797079"/>
    <w:rsid w:val="007A0168"/>
    <w:rsid w:val="007A3825"/>
    <w:rsid w:val="007A5858"/>
    <w:rsid w:val="007B10AD"/>
    <w:rsid w:val="007B2652"/>
    <w:rsid w:val="007B3E27"/>
    <w:rsid w:val="007C49DA"/>
    <w:rsid w:val="007D0C86"/>
    <w:rsid w:val="007D42AF"/>
    <w:rsid w:val="007D47A6"/>
    <w:rsid w:val="007D7F0E"/>
    <w:rsid w:val="007E06A4"/>
    <w:rsid w:val="007E217D"/>
    <w:rsid w:val="007E62F8"/>
    <w:rsid w:val="007E6399"/>
    <w:rsid w:val="007F07D5"/>
    <w:rsid w:val="007F2014"/>
    <w:rsid w:val="007F55EF"/>
    <w:rsid w:val="007F5D87"/>
    <w:rsid w:val="007F63B9"/>
    <w:rsid w:val="0081121A"/>
    <w:rsid w:val="00812D94"/>
    <w:rsid w:val="00814497"/>
    <w:rsid w:val="00816E30"/>
    <w:rsid w:val="008173FC"/>
    <w:rsid w:val="00821C5F"/>
    <w:rsid w:val="00825CE2"/>
    <w:rsid w:val="008264B2"/>
    <w:rsid w:val="00827A04"/>
    <w:rsid w:val="00832EC1"/>
    <w:rsid w:val="00835A74"/>
    <w:rsid w:val="00841967"/>
    <w:rsid w:val="0084271C"/>
    <w:rsid w:val="00843EC5"/>
    <w:rsid w:val="008446FE"/>
    <w:rsid w:val="00845FF4"/>
    <w:rsid w:val="0084718F"/>
    <w:rsid w:val="00850A84"/>
    <w:rsid w:val="0085657E"/>
    <w:rsid w:val="00861E13"/>
    <w:rsid w:val="00866309"/>
    <w:rsid w:val="00871A8B"/>
    <w:rsid w:val="008741AD"/>
    <w:rsid w:val="0087547E"/>
    <w:rsid w:val="00876D3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7065"/>
    <w:rsid w:val="00937110"/>
    <w:rsid w:val="00937CB9"/>
    <w:rsid w:val="00944DDA"/>
    <w:rsid w:val="00946FBC"/>
    <w:rsid w:val="00950576"/>
    <w:rsid w:val="00950DF2"/>
    <w:rsid w:val="009538DF"/>
    <w:rsid w:val="00956461"/>
    <w:rsid w:val="00975062"/>
    <w:rsid w:val="00975E51"/>
    <w:rsid w:val="00990095"/>
    <w:rsid w:val="009A2BCC"/>
    <w:rsid w:val="009B018D"/>
    <w:rsid w:val="009B3CD7"/>
    <w:rsid w:val="009B71B9"/>
    <w:rsid w:val="009C43C3"/>
    <w:rsid w:val="009C734E"/>
    <w:rsid w:val="009D3DE5"/>
    <w:rsid w:val="009E2018"/>
    <w:rsid w:val="009E2992"/>
    <w:rsid w:val="009E6B9D"/>
    <w:rsid w:val="009F17D0"/>
    <w:rsid w:val="009F28EC"/>
    <w:rsid w:val="00A0028B"/>
    <w:rsid w:val="00A021C3"/>
    <w:rsid w:val="00A04766"/>
    <w:rsid w:val="00A05BD0"/>
    <w:rsid w:val="00A104FB"/>
    <w:rsid w:val="00A127F0"/>
    <w:rsid w:val="00A16A55"/>
    <w:rsid w:val="00A17CDE"/>
    <w:rsid w:val="00A21570"/>
    <w:rsid w:val="00A2627F"/>
    <w:rsid w:val="00A27A5E"/>
    <w:rsid w:val="00A35EFD"/>
    <w:rsid w:val="00A377B7"/>
    <w:rsid w:val="00A41B48"/>
    <w:rsid w:val="00A42E56"/>
    <w:rsid w:val="00A436F1"/>
    <w:rsid w:val="00A477C6"/>
    <w:rsid w:val="00A500F3"/>
    <w:rsid w:val="00A51CC2"/>
    <w:rsid w:val="00A5203B"/>
    <w:rsid w:val="00A53BCD"/>
    <w:rsid w:val="00A55E28"/>
    <w:rsid w:val="00A60C1B"/>
    <w:rsid w:val="00A62E2D"/>
    <w:rsid w:val="00A64B6E"/>
    <w:rsid w:val="00A64E30"/>
    <w:rsid w:val="00A66DF4"/>
    <w:rsid w:val="00A75AE4"/>
    <w:rsid w:val="00A800A1"/>
    <w:rsid w:val="00A90811"/>
    <w:rsid w:val="00A92093"/>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B01527"/>
    <w:rsid w:val="00B03FFF"/>
    <w:rsid w:val="00B070DF"/>
    <w:rsid w:val="00B073DB"/>
    <w:rsid w:val="00B1022E"/>
    <w:rsid w:val="00B11448"/>
    <w:rsid w:val="00B1789B"/>
    <w:rsid w:val="00B20C1E"/>
    <w:rsid w:val="00B214D9"/>
    <w:rsid w:val="00B218D9"/>
    <w:rsid w:val="00B2191D"/>
    <w:rsid w:val="00B21F68"/>
    <w:rsid w:val="00B233D2"/>
    <w:rsid w:val="00B31E3E"/>
    <w:rsid w:val="00B34CD8"/>
    <w:rsid w:val="00B47205"/>
    <w:rsid w:val="00B532CF"/>
    <w:rsid w:val="00B53521"/>
    <w:rsid w:val="00B605EF"/>
    <w:rsid w:val="00B65FD5"/>
    <w:rsid w:val="00B67C44"/>
    <w:rsid w:val="00B7205D"/>
    <w:rsid w:val="00B72ECE"/>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10EB"/>
    <w:rsid w:val="00BC63F9"/>
    <w:rsid w:val="00BD6E38"/>
    <w:rsid w:val="00BD7C88"/>
    <w:rsid w:val="00BE264E"/>
    <w:rsid w:val="00BE4F2C"/>
    <w:rsid w:val="00BE5246"/>
    <w:rsid w:val="00BE668E"/>
    <w:rsid w:val="00BE7A38"/>
    <w:rsid w:val="00BF187E"/>
    <w:rsid w:val="00BF23E6"/>
    <w:rsid w:val="00C00CF6"/>
    <w:rsid w:val="00C023EC"/>
    <w:rsid w:val="00C0694D"/>
    <w:rsid w:val="00C06BEA"/>
    <w:rsid w:val="00C16668"/>
    <w:rsid w:val="00C16721"/>
    <w:rsid w:val="00C17256"/>
    <w:rsid w:val="00C2362A"/>
    <w:rsid w:val="00C26508"/>
    <w:rsid w:val="00C3094E"/>
    <w:rsid w:val="00C31FAE"/>
    <w:rsid w:val="00C33F47"/>
    <w:rsid w:val="00C3453F"/>
    <w:rsid w:val="00C35A09"/>
    <w:rsid w:val="00C41B3D"/>
    <w:rsid w:val="00C45059"/>
    <w:rsid w:val="00C51E1D"/>
    <w:rsid w:val="00C64DD9"/>
    <w:rsid w:val="00C660F3"/>
    <w:rsid w:val="00C7068C"/>
    <w:rsid w:val="00C73C77"/>
    <w:rsid w:val="00C73F6D"/>
    <w:rsid w:val="00C76AA4"/>
    <w:rsid w:val="00C76DEC"/>
    <w:rsid w:val="00C8365F"/>
    <w:rsid w:val="00C83EDF"/>
    <w:rsid w:val="00C84023"/>
    <w:rsid w:val="00CA341E"/>
    <w:rsid w:val="00CA586D"/>
    <w:rsid w:val="00CA7707"/>
    <w:rsid w:val="00CB4B69"/>
    <w:rsid w:val="00CC198F"/>
    <w:rsid w:val="00CC3677"/>
    <w:rsid w:val="00CC3912"/>
    <w:rsid w:val="00CD1F75"/>
    <w:rsid w:val="00CE6CFB"/>
    <w:rsid w:val="00CF183E"/>
    <w:rsid w:val="00CF5260"/>
    <w:rsid w:val="00CF5AB0"/>
    <w:rsid w:val="00CF66F7"/>
    <w:rsid w:val="00D0008D"/>
    <w:rsid w:val="00D02D52"/>
    <w:rsid w:val="00D07B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5867"/>
    <w:rsid w:val="00D52D11"/>
    <w:rsid w:val="00D52FA9"/>
    <w:rsid w:val="00D5448D"/>
    <w:rsid w:val="00D56E74"/>
    <w:rsid w:val="00D87968"/>
    <w:rsid w:val="00D90F8C"/>
    <w:rsid w:val="00D9381F"/>
    <w:rsid w:val="00D95945"/>
    <w:rsid w:val="00D95E9B"/>
    <w:rsid w:val="00DA323C"/>
    <w:rsid w:val="00DA51B7"/>
    <w:rsid w:val="00DA6654"/>
    <w:rsid w:val="00DA730E"/>
    <w:rsid w:val="00DA75E9"/>
    <w:rsid w:val="00DB57EB"/>
    <w:rsid w:val="00DC0F44"/>
    <w:rsid w:val="00DD756D"/>
    <w:rsid w:val="00DE1789"/>
    <w:rsid w:val="00DE2BEE"/>
    <w:rsid w:val="00DF3228"/>
    <w:rsid w:val="00DF3735"/>
    <w:rsid w:val="00DF547B"/>
    <w:rsid w:val="00E24587"/>
    <w:rsid w:val="00E266B4"/>
    <w:rsid w:val="00E27470"/>
    <w:rsid w:val="00E30124"/>
    <w:rsid w:val="00E305AF"/>
    <w:rsid w:val="00E36B28"/>
    <w:rsid w:val="00E37D0C"/>
    <w:rsid w:val="00E4156E"/>
    <w:rsid w:val="00E41668"/>
    <w:rsid w:val="00E47AE6"/>
    <w:rsid w:val="00E527F9"/>
    <w:rsid w:val="00E579B1"/>
    <w:rsid w:val="00E6011F"/>
    <w:rsid w:val="00E616BF"/>
    <w:rsid w:val="00E6175E"/>
    <w:rsid w:val="00E62965"/>
    <w:rsid w:val="00E669E2"/>
    <w:rsid w:val="00E71EEB"/>
    <w:rsid w:val="00E721A7"/>
    <w:rsid w:val="00E722B1"/>
    <w:rsid w:val="00E80793"/>
    <w:rsid w:val="00E81360"/>
    <w:rsid w:val="00E81DF1"/>
    <w:rsid w:val="00E87D61"/>
    <w:rsid w:val="00E90105"/>
    <w:rsid w:val="00EA33BF"/>
    <w:rsid w:val="00EB07F2"/>
    <w:rsid w:val="00EB1E20"/>
    <w:rsid w:val="00EB5DEB"/>
    <w:rsid w:val="00EC0C5B"/>
    <w:rsid w:val="00EC1627"/>
    <w:rsid w:val="00EC38B8"/>
    <w:rsid w:val="00ED18C2"/>
    <w:rsid w:val="00ED45EA"/>
    <w:rsid w:val="00ED6F9B"/>
    <w:rsid w:val="00EE0118"/>
    <w:rsid w:val="00EE089E"/>
    <w:rsid w:val="00EE6382"/>
    <w:rsid w:val="00EF3015"/>
    <w:rsid w:val="00EF3FE1"/>
    <w:rsid w:val="00EF46BA"/>
    <w:rsid w:val="00F03271"/>
    <w:rsid w:val="00F05184"/>
    <w:rsid w:val="00F06BDF"/>
    <w:rsid w:val="00F12111"/>
    <w:rsid w:val="00F1355E"/>
    <w:rsid w:val="00F142F3"/>
    <w:rsid w:val="00F21A6E"/>
    <w:rsid w:val="00F2500B"/>
    <w:rsid w:val="00F26248"/>
    <w:rsid w:val="00F31B69"/>
    <w:rsid w:val="00F3317F"/>
    <w:rsid w:val="00F3360F"/>
    <w:rsid w:val="00F347B6"/>
    <w:rsid w:val="00F3635A"/>
    <w:rsid w:val="00F37D74"/>
    <w:rsid w:val="00F40FCF"/>
    <w:rsid w:val="00F41562"/>
    <w:rsid w:val="00F441A9"/>
    <w:rsid w:val="00F44CF8"/>
    <w:rsid w:val="00F44FAC"/>
    <w:rsid w:val="00F46C73"/>
    <w:rsid w:val="00F476AE"/>
    <w:rsid w:val="00F52E3C"/>
    <w:rsid w:val="00F57351"/>
    <w:rsid w:val="00F631FF"/>
    <w:rsid w:val="00F715C0"/>
    <w:rsid w:val="00F7224D"/>
    <w:rsid w:val="00F75DCD"/>
    <w:rsid w:val="00F77F4F"/>
    <w:rsid w:val="00F8526E"/>
    <w:rsid w:val="00F9079F"/>
    <w:rsid w:val="00F9151A"/>
    <w:rsid w:val="00F920C7"/>
    <w:rsid w:val="00F96F10"/>
    <w:rsid w:val="00FA23AB"/>
    <w:rsid w:val="00FA28C1"/>
    <w:rsid w:val="00FA7FAE"/>
    <w:rsid w:val="00FB2908"/>
    <w:rsid w:val="00FB2FCF"/>
    <w:rsid w:val="00FB33D2"/>
    <w:rsid w:val="00FC0AD5"/>
    <w:rsid w:val="00FC192B"/>
    <w:rsid w:val="00FC5634"/>
    <w:rsid w:val="00FC776B"/>
    <w:rsid w:val="00FD06F2"/>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ederalreserve.gov/newsevents/press/bcreg/20140508a.htm" TargetMode="External"/><Relationship Id="rId20" Type="http://schemas.openxmlformats.org/officeDocument/2006/relationships/hyperlink" Target="http://www.sifma.org" TargetMode="External"/><Relationship Id="rId21" Type="http://schemas.openxmlformats.org/officeDocument/2006/relationships/hyperlink" Target="http://www.aba.com" TargetMode="External"/><Relationship Id="rId22" Type="http://schemas.openxmlformats.org/officeDocument/2006/relationships/hyperlink" Target="http://www.ACAMS.org/" TargetMode="External"/><Relationship Id="rId23" Type="http://schemas.openxmlformats.org/officeDocument/2006/relationships/hyperlink" Target="http://www.moneylaundering.com"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www.federalreserve.gov/boarddocs/supmanual/supervision_cbem.htm" TargetMode="External"/><Relationship Id="rId11" Type="http://schemas.openxmlformats.org/officeDocument/2006/relationships/hyperlink" Target="http://www.newyorkfed.org/newsevents/events/banking/2014/0602_2014.html" TargetMode="External"/><Relationship Id="rId12" Type="http://schemas.openxmlformats.org/officeDocument/2006/relationships/hyperlink" Target="http://www.dfs.ny.gov/legal/regulations/emergency/banking/emergbanking.htm" TargetMode="External"/><Relationship Id="rId13" Type="http://schemas.openxmlformats.org/officeDocument/2006/relationships/hyperlink" Target="http://www.finra.org/Newsroom/NewsReleases/2014/P493588" TargetMode="External"/><Relationship Id="rId14" Type="http://schemas.openxmlformats.org/officeDocument/2006/relationships/hyperlink" Target="http://www.finra.org/Industry/Regulation/Notices/2014/P506336" TargetMode="External"/><Relationship Id="rId15" Type="http://schemas.openxmlformats.org/officeDocument/2006/relationships/hyperlink" Target="http://www.occ.gov/news-issuances/bulletins/2014/bulletin-2014-18.html" TargetMode="External"/><Relationship Id="rId16" Type="http://schemas.openxmlformats.org/officeDocument/2006/relationships/hyperlink" Target="http://www.occ.gov/news-issuances/bulletins/2014/bulletin-2014-19.html" TargetMode="External"/><Relationship Id="rId17" Type="http://schemas.openxmlformats.org/officeDocument/2006/relationships/hyperlink" Target="http://www.occ.gov/news-issuances/bulletins/2014/bulletin-2014-20.html" TargetMode="External"/><Relationship Id="rId18" Type="http://schemas.openxmlformats.org/officeDocument/2006/relationships/hyperlink" Target="http://www.occ.gov/news-issuances/bulletins/2014/bulletin-2014-21.html" TargetMode="External"/><Relationship Id="rId19" Type="http://schemas.openxmlformats.org/officeDocument/2006/relationships/hyperlink" Target="http://www.iib.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federalreserve.gov/whatsnew.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5047</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2</cp:revision>
  <cp:lastPrinted>2013-12-07T21:46:00Z</cp:lastPrinted>
  <dcterms:created xsi:type="dcterms:W3CDTF">2014-05-25T15:04:00Z</dcterms:created>
  <dcterms:modified xsi:type="dcterms:W3CDTF">2014-05-25T15:04:00Z</dcterms:modified>
</cp:coreProperties>
</file>